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6E12" w:rsidRDefault="00416E12" w:rsidP="00416E12">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494C4E"/>
          <w:spacing w:val="3"/>
          <w:bdr w:val="none" w:sz="0" w:space="0" w:color="auto" w:frame="1"/>
        </w:rPr>
        <w:t xml:space="preserve">The bottom of the pyramid (BOP) are those who are living on less than One Dollar a day (Fawcett &amp; Waller, 2015). BOP consumer wants and needs are specialized and are heavily prioritized (Fawcett &amp; Waller, 2015). As consumers, their behavior is quite different from consumers from developing countries (Singh, </w:t>
      </w:r>
      <w:proofErr w:type="spellStart"/>
      <w:r>
        <w:rPr>
          <w:color w:val="494C4E"/>
          <w:spacing w:val="3"/>
          <w:bdr w:val="none" w:sz="0" w:space="0" w:color="auto" w:frame="1"/>
        </w:rPr>
        <w:t>Bakshi</w:t>
      </w:r>
      <w:proofErr w:type="spellEnd"/>
      <w:r>
        <w:rPr>
          <w:color w:val="494C4E"/>
          <w:spacing w:val="3"/>
          <w:bdr w:val="none" w:sz="0" w:space="0" w:color="auto" w:frame="1"/>
        </w:rPr>
        <w:t xml:space="preserve">, &amp; Mishra, 2015).   In fact, there may be no formal economy (Singh, </w:t>
      </w:r>
      <w:proofErr w:type="spellStart"/>
      <w:r>
        <w:rPr>
          <w:color w:val="494C4E"/>
          <w:spacing w:val="3"/>
          <w:bdr w:val="none" w:sz="0" w:space="0" w:color="auto" w:frame="1"/>
        </w:rPr>
        <w:t>Bakshi</w:t>
      </w:r>
      <w:proofErr w:type="spellEnd"/>
      <w:r>
        <w:rPr>
          <w:color w:val="494C4E"/>
          <w:spacing w:val="3"/>
          <w:bdr w:val="none" w:sz="0" w:space="0" w:color="auto" w:frame="1"/>
        </w:rPr>
        <w:t xml:space="preserve">, &amp; Mishra, 2015).  Fawcett and Waller (2015) remind us that those living at the BOP may be without infrastructure such as dirt roads, no power, and simplistic shelter. Lack of infrastructure can separate consumers from producers (Singh, </w:t>
      </w:r>
      <w:proofErr w:type="spellStart"/>
      <w:r>
        <w:rPr>
          <w:color w:val="494C4E"/>
          <w:spacing w:val="3"/>
          <w:bdr w:val="none" w:sz="0" w:space="0" w:color="auto" w:frame="1"/>
        </w:rPr>
        <w:t>Bakshi</w:t>
      </w:r>
      <w:proofErr w:type="spellEnd"/>
      <w:r>
        <w:rPr>
          <w:color w:val="494C4E"/>
          <w:spacing w:val="3"/>
          <w:bdr w:val="none" w:sz="0" w:space="0" w:color="auto" w:frame="1"/>
        </w:rPr>
        <w:t xml:space="preserve">, &amp; Mishra, 2015; </w:t>
      </w:r>
      <w:proofErr w:type="spellStart"/>
      <w:r>
        <w:rPr>
          <w:color w:val="494C4E"/>
          <w:spacing w:val="3"/>
          <w:bdr w:val="none" w:sz="0" w:space="0" w:color="auto" w:frame="1"/>
        </w:rPr>
        <w:t>Tarafdar</w:t>
      </w:r>
      <w:proofErr w:type="spellEnd"/>
      <w:r>
        <w:rPr>
          <w:color w:val="494C4E"/>
          <w:spacing w:val="3"/>
          <w:bdr w:val="none" w:sz="0" w:space="0" w:color="auto" w:frame="1"/>
        </w:rPr>
        <w:t xml:space="preserve">, Singh, &amp; </w:t>
      </w:r>
      <w:proofErr w:type="spellStart"/>
      <w:r>
        <w:rPr>
          <w:color w:val="494C4E"/>
          <w:spacing w:val="3"/>
          <w:bdr w:val="none" w:sz="0" w:space="0" w:color="auto" w:frame="1"/>
        </w:rPr>
        <w:t>Anekal</w:t>
      </w:r>
      <w:proofErr w:type="spellEnd"/>
      <w:r>
        <w:rPr>
          <w:color w:val="494C4E"/>
          <w:spacing w:val="3"/>
          <w:bdr w:val="none" w:sz="0" w:space="0" w:color="auto" w:frame="1"/>
        </w:rPr>
        <w:t>, 2013).  The gap between consumers and producers is referred to as a market separation (</w:t>
      </w:r>
      <w:proofErr w:type="spellStart"/>
      <w:r>
        <w:rPr>
          <w:color w:val="494C4E"/>
          <w:spacing w:val="3"/>
          <w:bdr w:val="none" w:sz="0" w:space="0" w:color="auto" w:frame="1"/>
        </w:rPr>
        <w:t>Tarafdar</w:t>
      </w:r>
      <w:proofErr w:type="spellEnd"/>
      <w:r>
        <w:rPr>
          <w:color w:val="494C4E"/>
          <w:spacing w:val="3"/>
          <w:bdr w:val="none" w:sz="0" w:space="0" w:color="auto" w:frame="1"/>
        </w:rPr>
        <w:t>, et al., 2013).</w:t>
      </w:r>
    </w:p>
    <w:p w:rsidR="00416E12" w:rsidRDefault="00416E12" w:rsidP="00416E12">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494C4E"/>
          <w:spacing w:val="3"/>
          <w:bdr w:val="none" w:sz="0" w:space="0" w:color="auto" w:frame="1"/>
        </w:rPr>
        <w:t xml:space="preserve">            Bartels (1968) introduces 4 types of market separation; spatial (physical distances), temporal (the timing between production and consumption), informational (different knowledge of products or markets), and financial (availability and willingness to consume). BOPs living in condition without infrastructure would be an example of spatial separation. Temporal separations can be exacerbated by distance, however, there are other barriers to reducing the time between the creation of a demand and product supply such as access to financial markets, access to supplies, lack of industry, etc. Informational market separation is high in BOP areas due to lack of education, illiteracy, and barriers to communication beyond the BOP areas such as access to media (Singh, </w:t>
      </w:r>
      <w:proofErr w:type="spellStart"/>
      <w:r>
        <w:rPr>
          <w:color w:val="494C4E"/>
          <w:spacing w:val="3"/>
          <w:bdr w:val="none" w:sz="0" w:space="0" w:color="auto" w:frame="1"/>
        </w:rPr>
        <w:t>Bakshi</w:t>
      </w:r>
      <w:proofErr w:type="spellEnd"/>
      <w:r>
        <w:rPr>
          <w:color w:val="494C4E"/>
          <w:spacing w:val="3"/>
          <w:bdr w:val="none" w:sz="0" w:space="0" w:color="auto" w:frame="1"/>
        </w:rPr>
        <w:t>, &amp; Mishra, 2015).  </w:t>
      </w:r>
    </w:p>
    <w:p w:rsidR="00416E12" w:rsidRDefault="00416E12" w:rsidP="00416E12">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BOPs, by mere definition have financial market separation.  In addition to lacking in funds, they are also lacking access to financial markets.  Microfinancing has been shown to be helpful to give access to financial markets and help in building assets in BOPs (Bali Swain, 2012). Micro entrepreneurship has had some success in building micro markets and allowing the natural progression of markets to develop.</w:t>
      </w:r>
    </w:p>
    <w:p w:rsidR="00416E12" w:rsidRDefault="00416E12" w:rsidP="00416E12">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proofErr w:type="spellStart"/>
      <w:r>
        <w:rPr>
          <w:color w:val="494C4E"/>
          <w:spacing w:val="3"/>
          <w:bdr w:val="none" w:sz="0" w:space="0" w:color="auto" w:frame="1"/>
        </w:rPr>
        <w:t>Tarafdar</w:t>
      </w:r>
      <w:proofErr w:type="spellEnd"/>
      <w:r>
        <w:rPr>
          <w:color w:val="494C4E"/>
          <w:spacing w:val="3"/>
          <w:bdr w:val="none" w:sz="0" w:space="0" w:color="auto" w:frame="1"/>
        </w:rPr>
        <w:t xml:space="preserve"> (2013) suggest that new markets can develop if links can be made to reduce the market separation. This may be one area for corporate social responsibility to address the needs of infrastructure development to help alleviate poverty and allow new markets to develop. However, that is the key, the markets must be allowed to develop, and at their own pace. Forcing the issue by over development or over financing by creating a boom economy will eventually lead to a bust and destroy the new markets and possibly the economy as a </w:t>
      </w:r>
      <w:r>
        <w:rPr>
          <w:color w:val="494C4E"/>
          <w:spacing w:val="3"/>
          <w:bdr w:val="none" w:sz="0" w:space="0" w:color="auto" w:frame="1"/>
        </w:rPr>
        <w:lastRenderedPageBreak/>
        <w:t>whole. In small amounts, new markets can develop and allow for incremental decreases in extreme poverty.</w:t>
      </w:r>
    </w:p>
    <w:p w:rsidR="00416E12" w:rsidRDefault="00416E12" w:rsidP="00416E12">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w:t>
      </w:r>
    </w:p>
    <w:p w:rsidR="00416E12" w:rsidRDefault="00416E12" w:rsidP="00416E12">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w:t>
      </w:r>
    </w:p>
    <w:p w:rsidR="00416E12" w:rsidRDefault="00416E12" w:rsidP="00416E12">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Bali Swain, R. (2012). </w:t>
      </w:r>
      <w:r>
        <w:rPr>
          <w:i/>
          <w:iCs/>
          <w:color w:val="494C4E"/>
          <w:spacing w:val="3"/>
          <w:bdr w:val="none" w:sz="0" w:space="0" w:color="auto" w:frame="1"/>
        </w:rPr>
        <w:t>The microfinance impact</w:t>
      </w:r>
      <w:r>
        <w:rPr>
          <w:color w:val="494C4E"/>
          <w:spacing w:val="3"/>
          <w:bdr w:val="none" w:sz="0" w:space="0" w:color="auto" w:frame="1"/>
        </w:rPr>
        <w:t> (Routledge studies in development economics). Hoboken: Taylor and Francis. (2012). Retrieved October 8, 2019, from Saint Leo University Cannon Memorial Library.</w:t>
      </w:r>
    </w:p>
    <w:p w:rsidR="00416E12" w:rsidRDefault="00416E12" w:rsidP="00416E12">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Bartels, R. (1968). The General Theory of Marketing. </w:t>
      </w:r>
      <w:r>
        <w:rPr>
          <w:i/>
          <w:iCs/>
          <w:color w:val="494C4E"/>
          <w:spacing w:val="3"/>
          <w:bdr w:val="none" w:sz="0" w:space="0" w:color="auto" w:frame="1"/>
        </w:rPr>
        <w:t>Journal of Marketing, 32</w:t>
      </w:r>
      <w:r>
        <w:rPr>
          <w:color w:val="494C4E"/>
          <w:spacing w:val="3"/>
          <w:bdr w:val="none" w:sz="0" w:space="0" w:color="auto" w:frame="1"/>
        </w:rPr>
        <w:t>(1), 29-33.</w:t>
      </w:r>
    </w:p>
    <w:p w:rsidR="00416E12" w:rsidRDefault="00416E12" w:rsidP="00416E12">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Fawcett, S., &amp; Waller, M. (2015). Designing the supply chain for success at the bottom of the pyramid. </w:t>
      </w:r>
      <w:r>
        <w:rPr>
          <w:i/>
          <w:iCs/>
          <w:color w:val="494C4E"/>
          <w:spacing w:val="3"/>
          <w:bdr w:val="none" w:sz="0" w:space="0" w:color="auto" w:frame="1"/>
        </w:rPr>
        <w:t>Journal of Business Logistics,</w:t>
      </w:r>
      <w:r>
        <w:rPr>
          <w:color w:val="494C4E"/>
          <w:spacing w:val="3"/>
          <w:bdr w:val="none" w:sz="0" w:space="0" w:color="auto" w:frame="1"/>
        </w:rPr>
        <w:t> </w:t>
      </w:r>
      <w:r>
        <w:rPr>
          <w:i/>
          <w:iCs/>
          <w:color w:val="494C4E"/>
          <w:spacing w:val="3"/>
          <w:bdr w:val="none" w:sz="0" w:space="0" w:color="auto" w:frame="1"/>
        </w:rPr>
        <w:t>36</w:t>
      </w:r>
      <w:r>
        <w:rPr>
          <w:color w:val="494C4E"/>
          <w:spacing w:val="3"/>
          <w:bdr w:val="none" w:sz="0" w:space="0" w:color="auto" w:frame="1"/>
        </w:rPr>
        <w:t>(3), 233-239. doi:10.1111/jbl.12096</w:t>
      </w:r>
    </w:p>
    <w:p w:rsidR="00416E12" w:rsidRDefault="00416E12" w:rsidP="00416E12">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 xml:space="preserve">Singh, R., </w:t>
      </w:r>
      <w:proofErr w:type="spellStart"/>
      <w:r>
        <w:rPr>
          <w:color w:val="494C4E"/>
          <w:spacing w:val="3"/>
          <w:bdr w:val="none" w:sz="0" w:space="0" w:color="auto" w:frame="1"/>
        </w:rPr>
        <w:t>Bakshi</w:t>
      </w:r>
      <w:proofErr w:type="spellEnd"/>
      <w:r>
        <w:rPr>
          <w:color w:val="494C4E"/>
          <w:spacing w:val="3"/>
          <w:bdr w:val="none" w:sz="0" w:space="0" w:color="auto" w:frame="1"/>
        </w:rPr>
        <w:t>, M., &amp; Mishra, P. (2015). Corporate social responsibility: Linking bottom of the pyramid to market development? </w:t>
      </w:r>
      <w:r>
        <w:rPr>
          <w:i/>
          <w:iCs/>
          <w:color w:val="494C4E"/>
          <w:spacing w:val="3"/>
          <w:bdr w:val="none" w:sz="0" w:space="0" w:color="auto" w:frame="1"/>
        </w:rPr>
        <w:t>Journal of Business Ethics,</w:t>
      </w:r>
      <w:r>
        <w:rPr>
          <w:color w:val="494C4E"/>
          <w:spacing w:val="3"/>
          <w:bdr w:val="none" w:sz="0" w:space="0" w:color="auto" w:frame="1"/>
        </w:rPr>
        <w:t> </w:t>
      </w:r>
      <w:r>
        <w:rPr>
          <w:i/>
          <w:iCs/>
          <w:color w:val="494C4E"/>
          <w:spacing w:val="3"/>
          <w:bdr w:val="none" w:sz="0" w:space="0" w:color="auto" w:frame="1"/>
        </w:rPr>
        <w:t>131</w:t>
      </w:r>
      <w:r>
        <w:rPr>
          <w:color w:val="494C4E"/>
          <w:spacing w:val="3"/>
          <w:bdr w:val="none" w:sz="0" w:space="0" w:color="auto" w:frame="1"/>
        </w:rPr>
        <w:t>(2), 361-373. doi:10.1007/s10551-014-2283-8</w:t>
      </w:r>
    </w:p>
    <w:p w:rsidR="00416E12" w:rsidRDefault="00416E12" w:rsidP="00416E12">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proofErr w:type="spellStart"/>
      <w:r>
        <w:rPr>
          <w:color w:val="494C4E"/>
          <w:spacing w:val="3"/>
          <w:bdr w:val="none" w:sz="0" w:space="0" w:color="auto" w:frame="1"/>
        </w:rPr>
        <w:t>Tarafdar</w:t>
      </w:r>
      <w:proofErr w:type="spellEnd"/>
      <w:r>
        <w:rPr>
          <w:color w:val="494C4E"/>
          <w:spacing w:val="3"/>
          <w:bdr w:val="none" w:sz="0" w:space="0" w:color="auto" w:frame="1"/>
        </w:rPr>
        <w:t xml:space="preserve">, M., Singh, R., &amp; </w:t>
      </w:r>
      <w:proofErr w:type="spellStart"/>
      <w:r>
        <w:rPr>
          <w:color w:val="494C4E"/>
          <w:spacing w:val="3"/>
          <w:bdr w:val="none" w:sz="0" w:space="0" w:color="auto" w:frame="1"/>
        </w:rPr>
        <w:t>Anekal</w:t>
      </w:r>
      <w:proofErr w:type="spellEnd"/>
      <w:r>
        <w:rPr>
          <w:color w:val="494C4E"/>
          <w:spacing w:val="3"/>
          <w:bdr w:val="none" w:sz="0" w:space="0" w:color="auto" w:frame="1"/>
        </w:rPr>
        <w:t>, P. (2013). Impact of ICT-enabled product and process innovations at the bottom of the pyramid: A market separations perspective. </w:t>
      </w:r>
      <w:r>
        <w:rPr>
          <w:i/>
          <w:iCs/>
          <w:color w:val="494C4E"/>
          <w:spacing w:val="3"/>
          <w:bdr w:val="none" w:sz="0" w:space="0" w:color="auto" w:frame="1"/>
        </w:rPr>
        <w:t>Journal of Information Technol</w:t>
      </w:r>
      <w:r>
        <w:rPr>
          <w:i/>
          <w:iCs/>
          <w:color w:val="494C4E"/>
          <w:spacing w:val="3"/>
          <w:bdr w:val="none" w:sz="0" w:space="0" w:color="auto" w:frame="1"/>
        </w:rPr>
        <w:softHyphen/>
        <w:t>ogy (special issue on JCT Innovations in Emerging Economies), 28</w:t>
      </w:r>
      <w:r>
        <w:rPr>
          <w:color w:val="494C4E"/>
          <w:spacing w:val="3"/>
          <w:bdr w:val="none" w:sz="0" w:space="0" w:color="auto" w:frame="1"/>
        </w:rPr>
        <w:t>(4), 279-295.</w:t>
      </w:r>
    </w:p>
    <w:p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E12"/>
    <w:rsid w:val="00416E12"/>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412F0D-31C2-49E0-9F13-94C0E1DDA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6E1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193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2019-10-09T23:06:00Z</dcterms:created>
  <dcterms:modified xsi:type="dcterms:W3CDTF">2019-10-09T23:09:00Z</dcterms:modified>
</cp:coreProperties>
</file>